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Heading1"/>
      </w:pPr>
      <w:bookmarkStart w:name="Purpose" w:id="1"/>
      <w:bookmarkEnd w:id="1"/>
      <w:r>
        <w:rPr>
          <w:b w:val="0"/>
        </w:rPr>
      </w:r>
      <w:r>
        <w:rPr>
          <w:color w:val="0F243E"/>
        </w:rPr>
        <w:t>Purpose</w:t>
      </w:r>
    </w:p>
    <w:p>
      <w:pPr>
        <w:pStyle w:val="BodyText"/>
        <w:spacing w:line="276" w:lineRule="auto" w:before="34"/>
        <w:ind w:left="114" w:right="504"/>
      </w:pPr>
      <w:r>
        <w:rPr/>
        <w:t>To highlight patient safety risks associated with </w:t>
      </w:r>
      <w:r>
        <w:rPr>
          <w:color w:val="FF0000"/>
        </w:rPr>
        <w:t>insert local VTE problem </w:t>
      </w:r>
      <w:r>
        <w:rPr/>
        <w:t>and to recommend that the </w:t>
      </w:r>
      <w:r>
        <w:rPr>
          <w:color w:val="FF0000"/>
        </w:rPr>
        <w:t>insert relevant local committee </w:t>
      </w:r>
      <w:r>
        <w:rPr/>
        <w:t>takes a lead role in governance of improvement activities to address these risks.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bookmarkStart w:name="Background" w:id="2"/>
      <w:bookmarkEnd w:id="2"/>
      <w:r>
        <w:rPr>
          <w:b w:val="0"/>
        </w:rPr>
      </w:r>
      <w:r>
        <w:rPr>
          <w:color w:val="0F243E"/>
        </w:rPr>
        <w:t>Background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68" w:lineRule="auto" w:before="37" w:after="0"/>
        <w:ind w:left="541" w:right="299" w:hanging="359"/>
        <w:jc w:val="left"/>
        <w:rPr>
          <w:sz w:val="21"/>
        </w:rPr>
      </w:pPr>
      <w:r>
        <w:rPr>
          <w:sz w:val="21"/>
        </w:rPr>
        <w:t>VTE is a leading cause of morbidity and mortality in Australia with more than 14,000 Australians diagnosed with a VTE each year, and more than 5,000 cases resulting in death</w:t>
      </w:r>
      <w:r>
        <w:rPr>
          <w:position w:val="7"/>
          <w:sz w:val="14"/>
        </w:rPr>
        <w:t>1</w:t>
      </w:r>
      <w:r>
        <w:rPr>
          <w:sz w:val="21"/>
        </w:rPr>
        <w:t>. The incidence of VTE in hospitalised patients is more than 100 times greater in community</w:t>
      </w:r>
      <w:r>
        <w:rPr>
          <w:spacing w:val="-29"/>
          <w:sz w:val="21"/>
        </w:rPr>
        <w:t> </w:t>
      </w:r>
      <w:r>
        <w:rPr>
          <w:sz w:val="21"/>
        </w:rPr>
        <w:t>patients</w:t>
      </w:r>
      <w:r>
        <w:rPr>
          <w:position w:val="7"/>
          <w:sz w:val="14"/>
        </w:rPr>
        <w:t>2</w:t>
      </w:r>
      <w:r>
        <w:rPr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68" w:lineRule="auto" w:before="8" w:after="0"/>
        <w:ind w:left="541" w:right="153" w:hanging="360"/>
        <w:jc w:val="both"/>
        <w:rPr>
          <w:sz w:val="21"/>
        </w:rPr>
      </w:pPr>
      <w:r>
        <w:rPr>
          <w:sz w:val="21"/>
        </w:rPr>
        <w:t>Appropriate use of VTE prevention methods is ranked as the top intervention hospitals can make to improve patient safety</w:t>
      </w:r>
      <w:r>
        <w:rPr>
          <w:position w:val="7"/>
          <w:sz w:val="14"/>
        </w:rPr>
        <w:t>3-4</w:t>
      </w:r>
      <w:r>
        <w:rPr>
          <w:sz w:val="21"/>
        </w:rPr>
        <w:t>. Studies have found 30-65% of VTE cases to be preventable if appropriate provision of prophylaxis is provided</w:t>
      </w:r>
      <w:r>
        <w:rPr>
          <w:position w:val="7"/>
          <w:sz w:val="14"/>
        </w:rPr>
        <w:t>5-6</w:t>
      </w:r>
      <w:r>
        <w:rPr>
          <w:sz w:val="21"/>
        </w:rPr>
        <w:t>, which relies on timely and appropriate risk</w:t>
      </w:r>
      <w:r>
        <w:rPr>
          <w:spacing w:val="-27"/>
          <w:sz w:val="21"/>
        </w:rPr>
        <w:t> </w:t>
      </w:r>
      <w:r>
        <w:rPr>
          <w:sz w:val="21"/>
        </w:rPr>
        <w:t>assessment.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8" w:after="0"/>
        <w:ind w:left="541" w:right="0" w:hanging="360"/>
        <w:jc w:val="left"/>
        <w:rPr>
          <w:sz w:val="21"/>
        </w:rPr>
      </w:pPr>
      <w:r>
        <w:rPr>
          <w:color w:val="FF0000"/>
          <w:sz w:val="21"/>
        </w:rPr>
        <w:t>Insert local VTE data such as HIE VTE hospital-acquired complication (HAC) rates</w:t>
      </w:r>
      <w:r>
        <w:rPr>
          <w:color w:val="FF0000"/>
          <w:spacing w:val="-25"/>
          <w:sz w:val="21"/>
        </w:rPr>
        <w:t> </w:t>
      </w:r>
      <w:r>
        <w:rPr>
          <w:color w:val="FF0000"/>
          <w:sz w:val="21"/>
        </w:rPr>
        <w:t>etc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bookmarkStart w:name="Issues" w:id="3"/>
      <w:bookmarkEnd w:id="3"/>
      <w:r>
        <w:rPr>
          <w:b w:val="0"/>
        </w:rPr>
      </w:r>
      <w:r>
        <w:rPr>
          <w:color w:val="0F243E"/>
        </w:rPr>
        <w:t>Issues</w:t>
      </w:r>
    </w:p>
    <w:p>
      <w:pPr>
        <w:pStyle w:val="BodyText"/>
        <w:spacing w:line="276" w:lineRule="auto" w:before="34"/>
        <w:ind w:left="114" w:right="96"/>
      </w:pPr>
      <w:r>
        <w:rPr>
          <w:color w:val="FF0000"/>
        </w:rPr>
        <w:t>(Select/modify/insert issues below as relevant to your health service and where possible insert local data from incident reports or audits to support the case for change)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71" w:lineRule="auto" w:before="2" w:after="0"/>
        <w:ind w:left="541" w:right="123" w:hanging="360"/>
        <w:jc w:val="left"/>
        <w:rPr>
          <w:sz w:val="21"/>
        </w:rPr>
      </w:pPr>
      <w:r>
        <w:rPr>
          <w:sz w:val="21"/>
        </w:rPr>
        <w:t>As per </w:t>
      </w:r>
      <w:hyperlink r:id="rId6">
        <w:r>
          <w:rPr>
            <w:color w:val="0000FF"/>
            <w:sz w:val="21"/>
            <w:u w:val="single" w:color="0000FF"/>
          </w:rPr>
          <w:t>Prevention of Venous Thromboembolism PD2019_057</w:t>
        </w:r>
      </w:hyperlink>
      <w:r>
        <w:rPr>
          <w:sz w:val="21"/>
        </w:rPr>
        <w:t>, NSW Health facilities are required to </w:t>
      </w:r>
      <w:r>
        <w:rPr>
          <w:color w:val="FF0000"/>
          <w:sz w:val="21"/>
        </w:rPr>
        <w:t>insert problem which requires</w:t>
      </w:r>
      <w:r>
        <w:rPr>
          <w:color w:val="FF0000"/>
          <w:spacing w:val="-14"/>
          <w:sz w:val="21"/>
        </w:rPr>
        <w:t> </w:t>
      </w:r>
      <w:r>
        <w:rPr>
          <w:color w:val="FF0000"/>
          <w:sz w:val="21"/>
        </w:rPr>
        <w:t>improvement</w:t>
      </w:r>
      <w:r>
        <w:rPr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73" w:lineRule="auto" w:before="6" w:after="0"/>
        <w:ind w:left="541" w:right="345" w:hanging="360"/>
        <w:jc w:val="left"/>
        <w:rPr>
          <w:sz w:val="21"/>
        </w:rPr>
      </w:pPr>
      <w:r>
        <w:rPr>
          <w:color w:val="FF0000"/>
          <w:sz w:val="21"/>
        </w:rPr>
        <w:t>Insert unit/facility/district name </w:t>
      </w:r>
      <w:r>
        <w:rPr>
          <w:sz w:val="21"/>
        </w:rPr>
        <w:t>has not been able to appropriately implement </w:t>
      </w:r>
      <w:r>
        <w:rPr>
          <w:color w:val="FF0000"/>
          <w:sz w:val="21"/>
        </w:rPr>
        <w:t>insert local </w:t>
      </w:r>
      <w:r>
        <w:rPr>
          <w:color w:val="FF0000"/>
          <w:spacing w:val="-2"/>
          <w:sz w:val="21"/>
        </w:rPr>
        <w:t>VTE </w:t>
      </w:r>
      <w:r>
        <w:rPr>
          <w:color w:val="FF0000"/>
          <w:sz w:val="21"/>
        </w:rPr>
        <w:t>process or policy </w:t>
      </w:r>
      <w:r>
        <w:rPr>
          <w:sz w:val="21"/>
        </w:rPr>
        <w:t>and as a result, patients are not receiving the best possible care to prevent VTE formation.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73" w:lineRule="auto" w:before="4" w:after="0"/>
        <w:ind w:left="542" w:right="202" w:hanging="360"/>
        <w:jc w:val="left"/>
        <w:rPr>
          <w:sz w:val="21"/>
        </w:rPr>
      </w:pPr>
      <w:r>
        <w:rPr>
          <w:sz w:val="21"/>
        </w:rPr>
        <w:t>There is inconsistency in the way that </w:t>
      </w:r>
      <w:r>
        <w:rPr>
          <w:color w:val="FF0000"/>
          <w:sz w:val="21"/>
        </w:rPr>
        <w:t>insert problematic VTE prevention process </w:t>
      </w:r>
      <w:r>
        <w:rPr>
          <w:sz w:val="21"/>
        </w:rPr>
        <w:t>is carried out. Ideally, </w:t>
      </w:r>
      <w:r>
        <w:rPr>
          <w:color w:val="FF0000"/>
          <w:sz w:val="21"/>
        </w:rPr>
        <w:t>insert details of ideal process including clinicians involved, when and how etc </w:t>
      </w:r>
      <w:r>
        <w:rPr>
          <w:sz w:val="21"/>
        </w:rPr>
        <w:t>should occur, however </w:t>
      </w:r>
      <w:r>
        <w:rPr>
          <w:color w:val="FF0000"/>
          <w:sz w:val="21"/>
        </w:rPr>
        <w:t>insert actual process </w:t>
      </w:r>
      <w:r>
        <w:rPr>
          <w:sz w:val="21"/>
        </w:rPr>
        <w:t>is</w:t>
      </w:r>
      <w:r>
        <w:rPr>
          <w:spacing w:val="-9"/>
          <w:sz w:val="21"/>
        </w:rPr>
        <w:t> </w:t>
      </w:r>
      <w:r>
        <w:rPr>
          <w:sz w:val="21"/>
        </w:rPr>
        <w:t>occurring.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73" w:lineRule="auto" w:before="4" w:after="0"/>
        <w:ind w:left="542" w:right="379" w:hanging="360"/>
        <w:jc w:val="left"/>
        <w:rPr>
          <w:sz w:val="21"/>
        </w:rPr>
      </w:pPr>
      <w:r>
        <w:rPr>
          <w:sz w:val="21"/>
        </w:rPr>
        <w:t>A recent audit conducted on </w:t>
      </w:r>
      <w:r>
        <w:rPr>
          <w:color w:val="FF0000"/>
          <w:sz w:val="21"/>
        </w:rPr>
        <w:t>insert date/ward/patient group </w:t>
      </w:r>
      <w:r>
        <w:rPr>
          <w:sz w:val="21"/>
        </w:rPr>
        <w:t>showed that only </w:t>
      </w:r>
      <w:r>
        <w:rPr>
          <w:color w:val="FF0000"/>
          <w:sz w:val="21"/>
        </w:rPr>
        <w:t>insert percentage </w:t>
      </w:r>
      <w:r>
        <w:rPr>
          <w:sz w:val="21"/>
        </w:rPr>
        <w:t>of patients are receiving appropriate </w:t>
      </w:r>
      <w:r>
        <w:rPr>
          <w:color w:val="FF0000"/>
          <w:sz w:val="21"/>
        </w:rPr>
        <w:t>insert VTE prevention</w:t>
      </w:r>
      <w:r>
        <w:rPr>
          <w:color w:val="FF0000"/>
          <w:spacing w:val="-17"/>
          <w:sz w:val="21"/>
        </w:rPr>
        <w:t> </w:t>
      </w:r>
      <w:r>
        <w:rPr>
          <w:color w:val="FF0000"/>
          <w:sz w:val="21"/>
        </w:rPr>
        <w:t>process.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73" w:lineRule="auto" w:before="2" w:after="0"/>
        <w:ind w:left="543" w:right="239" w:hanging="360"/>
        <w:jc w:val="left"/>
        <w:rPr>
          <w:sz w:val="21"/>
        </w:rPr>
      </w:pPr>
      <w:r>
        <w:rPr>
          <w:sz w:val="21"/>
        </w:rPr>
        <w:t>Since </w:t>
      </w:r>
      <w:r>
        <w:rPr>
          <w:color w:val="FF0000"/>
          <w:sz w:val="21"/>
        </w:rPr>
        <w:t>insert date</w:t>
      </w:r>
      <w:r>
        <w:rPr>
          <w:sz w:val="21"/>
        </w:rPr>
        <w:t>, there have been </w:t>
      </w:r>
      <w:r>
        <w:rPr>
          <w:color w:val="FF0000"/>
          <w:sz w:val="21"/>
        </w:rPr>
        <w:t>insert data if available </w:t>
      </w:r>
      <w:r>
        <w:rPr>
          <w:sz w:val="21"/>
        </w:rPr>
        <w:t>instances of patients developing a VTE during their hospital admission which has led to </w:t>
      </w:r>
      <w:r>
        <w:rPr>
          <w:color w:val="FF0000"/>
          <w:sz w:val="21"/>
        </w:rPr>
        <w:t>insert known complications</w:t>
      </w:r>
      <w:r>
        <w:rPr>
          <w:sz w:val="21"/>
        </w:rPr>
        <w:t>, leading to an increase of </w:t>
      </w:r>
      <w:r>
        <w:rPr>
          <w:color w:val="FF0000"/>
          <w:sz w:val="21"/>
        </w:rPr>
        <w:t>average number of bed</w:t>
      </w:r>
      <w:r>
        <w:rPr>
          <w:color w:val="FF0000"/>
          <w:spacing w:val="-5"/>
          <w:sz w:val="21"/>
        </w:rPr>
        <w:t> </w:t>
      </w:r>
      <w:r>
        <w:rPr>
          <w:color w:val="FF0000"/>
          <w:sz w:val="21"/>
        </w:rPr>
        <w:t>days.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73" w:lineRule="auto" w:before="2" w:after="0"/>
        <w:ind w:left="543" w:right="119" w:hanging="360"/>
        <w:jc w:val="left"/>
        <w:rPr>
          <w:sz w:val="21"/>
        </w:rPr>
      </w:pPr>
      <w:r>
        <w:rPr>
          <w:sz w:val="21"/>
        </w:rPr>
        <w:t>The average cost of a VTE related complication at </w:t>
      </w:r>
      <w:r>
        <w:rPr>
          <w:color w:val="FF0000"/>
          <w:sz w:val="21"/>
        </w:rPr>
        <w:t>insert ward/facility/district </w:t>
      </w:r>
      <w:r>
        <w:rPr>
          <w:sz w:val="21"/>
        </w:rPr>
        <w:t>is </w:t>
      </w:r>
      <w:r>
        <w:rPr>
          <w:color w:val="FF0000"/>
          <w:sz w:val="21"/>
        </w:rPr>
        <w:t>insert cost </w:t>
      </w:r>
      <w:r>
        <w:rPr>
          <w:sz w:val="21"/>
        </w:rPr>
        <w:t>and in the past year, there have been </w:t>
      </w:r>
      <w:r>
        <w:rPr>
          <w:color w:val="FF0000"/>
          <w:sz w:val="21"/>
        </w:rPr>
        <w:t>insert number of VTE related</w:t>
      </w:r>
      <w:r>
        <w:rPr>
          <w:color w:val="FF0000"/>
          <w:spacing w:val="-19"/>
          <w:sz w:val="21"/>
        </w:rPr>
        <w:t> </w:t>
      </w:r>
      <w:r>
        <w:rPr>
          <w:color w:val="FF0000"/>
          <w:sz w:val="21"/>
        </w:rPr>
        <w:t>complications.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71" w:lineRule="auto" w:before="4" w:after="0"/>
        <w:ind w:left="543" w:right="1196" w:hanging="360"/>
        <w:jc w:val="left"/>
        <w:rPr>
          <w:sz w:val="21"/>
        </w:rPr>
      </w:pPr>
      <w:r>
        <w:rPr>
          <w:sz w:val="21"/>
        </w:rPr>
        <w:t>As can be seen from the above, inconsistency in </w:t>
      </w:r>
      <w:r>
        <w:rPr>
          <w:color w:val="FF0000"/>
          <w:sz w:val="21"/>
        </w:rPr>
        <w:t>insert VTE prevention process </w:t>
      </w:r>
      <w:r>
        <w:rPr>
          <w:sz w:val="21"/>
        </w:rPr>
        <w:t>at </w:t>
      </w:r>
      <w:r>
        <w:rPr>
          <w:color w:val="FF0000"/>
          <w:sz w:val="21"/>
        </w:rPr>
        <w:t>insert unit/facility/district </w:t>
      </w:r>
      <w:r>
        <w:rPr>
          <w:sz w:val="21"/>
        </w:rPr>
        <w:t>name may be contributing to preventable harm from</w:t>
      </w:r>
      <w:r>
        <w:rPr>
          <w:spacing w:val="-25"/>
          <w:sz w:val="21"/>
        </w:rPr>
        <w:t> </w:t>
      </w:r>
      <w:r>
        <w:rPr>
          <w:sz w:val="21"/>
        </w:rPr>
        <w:t>VTE.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115"/>
      </w:pPr>
      <w:bookmarkStart w:name="Recommendations" w:id="4"/>
      <w:bookmarkEnd w:id="4"/>
      <w:r>
        <w:rPr>
          <w:b w:val="0"/>
        </w:rPr>
      </w:r>
      <w:r>
        <w:rPr>
          <w:color w:val="0F243E"/>
        </w:rPr>
        <w:t>Recommendations</w:t>
      </w:r>
    </w:p>
    <w:p>
      <w:pPr>
        <w:pStyle w:val="BodyText"/>
        <w:spacing w:line="276" w:lineRule="auto" w:before="37"/>
        <w:ind w:left="115" w:right="142" w:hanging="1"/>
      </w:pPr>
      <w:r>
        <w:rPr/>
        <w:t>That </w:t>
      </w:r>
      <w:r>
        <w:rPr>
          <w:color w:val="FF0000"/>
        </w:rPr>
        <w:t>insert relevant local committee </w:t>
      </w:r>
      <w:r>
        <w:rPr/>
        <w:t>notes the patient safety risks highlighted and supports improvement activities to improve </w:t>
      </w:r>
      <w:r>
        <w:rPr>
          <w:color w:val="FF0000"/>
        </w:rPr>
        <w:t>insert local VTE problem </w:t>
      </w:r>
      <w:r>
        <w:rPr/>
        <w:t>by: </w:t>
      </w:r>
      <w:r>
        <w:rPr>
          <w:color w:val="FF0000"/>
        </w:rPr>
        <w:t>(amend list below as appropriate)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57" w:lineRule="exact" w:before="0" w:after="0"/>
        <w:ind w:left="543" w:right="0" w:hanging="360"/>
        <w:jc w:val="left"/>
        <w:rPr>
          <w:sz w:val="21"/>
        </w:rPr>
      </w:pPr>
      <w:r>
        <w:rPr>
          <w:sz w:val="21"/>
        </w:rPr>
        <w:t>Supporting the formation of a multidisciplinary quality improvement project team</w:t>
      </w:r>
      <w:r>
        <w:rPr>
          <w:spacing w:val="-27"/>
          <w:sz w:val="21"/>
        </w:rPr>
        <w:t> </w:t>
      </w:r>
      <w:r>
        <w:rPr>
          <w:sz w:val="21"/>
        </w:rPr>
        <w:t>to: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40" w:lineRule="auto" w:before="35" w:after="0"/>
        <w:ind w:left="970" w:right="0" w:hanging="360"/>
        <w:jc w:val="left"/>
        <w:rPr>
          <w:sz w:val="21"/>
        </w:rPr>
      </w:pPr>
      <w:r>
        <w:rPr>
          <w:sz w:val="21"/>
        </w:rPr>
        <w:t>Evaluate current VTE prevention processes and establish improvement project</w:t>
      </w:r>
      <w:r>
        <w:rPr>
          <w:spacing w:val="-23"/>
          <w:sz w:val="21"/>
        </w:rPr>
        <w:t> </w:t>
      </w:r>
      <w:r>
        <w:rPr>
          <w:sz w:val="21"/>
        </w:rPr>
        <w:t>goals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40" w:lineRule="auto" w:before="18" w:after="0"/>
        <w:ind w:left="970" w:right="0" w:hanging="360"/>
        <w:jc w:val="left"/>
        <w:rPr>
          <w:sz w:val="21"/>
        </w:rPr>
      </w:pPr>
      <w:r>
        <w:rPr>
          <w:sz w:val="21"/>
        </w:rPr>
        <w:t>Identify and enlist clinical</w:t>
      </w:r>
      <w:r>
        <w:rPr>
          <w:spacing w:val="-12"/>
          <w:sz w:val="21"/>
        </w:rPr>
        <w:t> </w:t>
      </w:r>
      <w:r>
        <w:rPr>
          <w:sz w:val="21"/>
        </w:rPr>
        <w:t>champions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40" w:lineRule="auto" w:before="16" w:after="0"/>
        <w:ind w:left="970" w:right="0" w:hanging="360"/>
        <w:jc w:val="left"/>
        <w:rPr>
          <w:sz w:val="21"/>
        </w:rPr>
      </w:pPr>
      <w:r>
        <w:rPr>
          <w:sz w:val="21"/>
        </w:rPr>
        <w:t>Develop, implement and evaluate improvement</w:t>
      </w:r>
      <w:r>
        <w:rPr>
          <w:spacing w:val="-14"/>
          <w:sz w:val="21"/>
        </w:rPr>
        <w:t> </w:t>
      </w:r>
      <w:r>
        <w:rPr>
          <w:sz w:val="21"/>
        </w:rPr>
        <w:t>strategies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40" w:lineRule="auto" w:before="18" w:after="0"/>
        <w:ind w:left="970" w:right="0" w:hanging="360"/>
        <w:jc w:val="left"/>
        <w:rPr>
          <w:sz w:val="21"/>
        </w:rPr>
      </w:pPr>
      <w:r>
        <w:rPr>
          <w:sz w:val="21"/>
        </w:rPr>
        <w:t>Disseminate results and</w:t>
      </w:r>
      <w:r>
        <w:rPr>
          <w:spacing w:val="-9"/>
          <w:sz w:val="21"/>
        </w:rPr>
        <w:t> </w:t>
      </w:r>
      <w:r>
        <w:rPr>
          <w:sz w:val="21"/>
        </w:rPr>
        <w:t>findings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18" w:after="0"/>
        <w:ind w:left="543" w:right="0" w:hanging="360"/>
        <w:jc w:val="left"/>
        <w:rPr>
          <w:sz w:val="21"/>
        </w:rPr>
      </w:pPr>
      <w:r>
        <w:rPr>
          <w:sz w:val="21"/>
        </w:rPr>
        <w:t>Establishing reporting and approval</w:t>
      </w:r>
      <w:r>
        <w:rPr>
          <w:spacing w:val="-11"/>
          <w:sz w:val="21"/>
        </w:rPr>
        <w:t> </w:t>
      </w:r>
      <w:r>
        <w:rPr>
          <w:sz w:val="21"/>
        </w:rPr>
        <w:t>processes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33" w:after="0"/>
        <w:ind w:left="543" w:right="0" w:hanging="360"/>
        <w:jc w:val="left"/>
        <w:rPr>
          <w:sz w:val="21"/>
        </w:rPr>
      </w:pPr>
      <w:r>
        <w:rPr>
          <w:sz w:val="21"/>
        </w:rPr>
        <w:t>Assisting with overcoming barriers to</w:t>
      </w:r>
      <w:r>
        <w:rPr>
          <w:spacing w:val="-18"/>
          <w:sz w:val="21"/>
        </w:rPr>
        <w:t> </w:t>
      </w:r>
      <w:r>
        <w:rPr>
          <w:sz w:val="21"/>
        </w:rPr>
        <w:t>implementation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6" w:right="504"/>
      </w:pPr>
      <w:r>
        <w:rPr>
          <w:b/>
          <w:color w:val="0F243E"/>
        </w:rPr>
        <w:t>Contact: </w:t>
      </w:r>
      <w:r>
        <w:rPr>
          <w:color w:val="FF0000"/>
        </w:rPr>
        <w:t>(insert name of person co-ordinating the improvement activities)</w:t>
      </w:r>
    </w:p>
    <w:p>
      <w:pPr>
        <w:pStyle w:val="Heading1"/>
        <w:tabs>
          <w:tab w:pos="5583" w:val="left" w:leader="none"/>
        </w:tabs>
        <w:spacing w:before="37"/>
        <w:ind w:left="116"/>
      </w:pPr>
      <w:r>
        <w:rPr>
          <w:color w:val="0F243E"/>
        </w:rPr>
        <w:t>Phone:</w:t>
        <w:tab/>
        <w:t>Date:</w:t>
      </w:r>
    </w:p>
    <w:p>
      <w:pPr>
        <w:spacing w:after="0"/>
        <w:sectPr>
          <w:headerReference w:type="default" r:id="rId5"/>
          <w:type w:val="continuous"/>
          <w:pgSz w:w="11910" w:h="16840"/>
          <w:pgMar w:header="603" w:top="1800" w:bottom="280" w:left="1160" w:right="8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75"/>
        <w:ind w:left="114" w:right="1856" w:firstLine="0"/>
        <w:jc w:val="left"/>
        <w:rPr>
          <w:b/>
          <w:sz w:val="21"/>
        </w:rPr>
      </w:pPr>
      <w:bookmarkStart w:name="References" w:id="5"/>
      <w:bookmarkEnd w:id="5"/>
      <w:r>
        <w:rPr/>
      </w:r>
      <w:r>
        <w:rPr>
          <w:b/>
          <w:color w:val="0F243E"/>
          <w:sz w:val="21"/>
        </w:rPr>
        <w:t>References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2" w:lineRule="auto" w:before="0" w:after="0"/>
        <w:ind w:left="541" w:right="1159" w:hanging="360"/>
        <w:jc w:val="left"/>
        <w:rPr>
          <w:sz w:val="20"/>
        </w:rPr>
      </w:pPr>
      <w:r>
        <w:rPr>
          <w:color w:val="303030"/>
          <w:sz w:val="20"/>
        </w:rPr>
        <w:t>Access Economics. The burden of venous thromboembolism in Australia: Report by Access Economics Pty Limited for The Australia and New Zealand Working Party on the Management and Prevention of Venous Thromboembolism, May 2008. Accessed 1 April</w:t>
      </w:r>
      <w:r>
        <w:rPr>
          <w:color w:val="303030"/>
          <w:spacing w:val="-33"/>
          <w:sz w:val="20"/>
        </w:rPr>
        <w:t> </w:t>
      </w:r>
      <w:r>
        <w:rPr>
          <w:color w:val="303030"/>
          <w:sz w:val="20"/>
        </w:rPr>
        <w:t>2014</w:t>
      </w:r>
    </w:p>
    <w:p>
      <w:pPr>
        <w:spacing w:line="226" w:lineRule="exact" w:before="0"/>
        <w:ind w:left="541" w:right="1856" w:firstLine="0"/>
        <w:jc w:val="left"/>
        <w:rPr>
          <w:sz w:val="20"/>
        </w:rPr>
      </w:pPr>
      <w:r>
        <w:rPr>
          <w:color w:val="303030"/>
          <w:w w:val="95"/>
          <w:sz w:val="20"/>
        </w:rPr>
        <w:t>at       </w:t>
      </w:r>
      <w:hyperlink r:id="rId7">
        <w:r>
          <w:rPr>
            <w:color w:val="006666"/>
            <w:w w:val="95"/>
            <w:sz w:val="20"/>
            <w:u w:val="single" w:color="006666"/>
          </w:rPr>
          <w:t>https://www.deloitteaccesseconomics.com.au/publications+and+reports/browse+reports.</w:t>
        </w:r>
      </w:hyperlink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0" w:after="0"/>
        <w:ind w:left="541" w:right="0" w:hanging="360"/>
        <w:jc w:val="left"/>
        <w:rPr>
          <w:sz w:val="20"/>
        </w:rPr>
      </w:pPr>
      <w:r>
        <w:rPr>
          <w:color w:val="313537"/>
          <w:sz w:val="20"/>
        </w:rPr>
        <w:t>Heit,</w:t>
      </w:r>
      <w:r>
        <w:rPr>
          <w:color w:val="313537"/>
          <w:spacing w:val="-3"/>
          <w:sz w:val="20"/>
        </w:rPr>
        <w:t> </w:t>
      </w:r>
      <w:r>
        <w:rPr>
          <w:color w:val="313537"/>
          <w:sz w:val="20"/>
        </w:rPr>
        <w:t>J.A.,</w:t>
      </w:r>
      <w:r>
        <w:rPr>
          <w:color w:val="313537"/>
          <w:spacing w:val="-3"/>
          <w:sz w:val="20"/>
        </w:rPr>
        <w:t> </w:t>
      </w:r>
      <w:r>
        <w:rPr>
          <w:color w:val="313537"/>
          <w:sz w:val="20"/>
        </w:rPr>
        <w:t>Melton,</w:t>
      </w:r>
      <w:r>
        <w:rPr>
          <w:color w:val="313537"/>
          <w:spacing w:val="-5"/>
          <w:sz w:val="20"/>
        </w:rPr>
        <w:t> </w:t>
      </w:r>
      <w:r>
        <w:rPr>
          <w:color w:val="313537"/>
          <w:sz w:val="20"/>
        </w:rPr>
        <w:t>L.J.,</w:t>
      </w:r>
      <w:r>
        <w:rPr>
          <w:color w:val="313537"/>
          <w:spacing w:val="-3"/>
          <w:sz w:val="20"/>
        </w:rPr>
        <w:t> </w:t>
      </w:r>
      <w:r>
        <w:rPr>
          <w:color w:val="313537"/>
          <w:sz w:val="20"/>
        </w:rPr>
        <w:t>Lohse,</w:t>
      </w:r>
      <w:r>
        <w:rPr>
          <w:color w:val="313537"/>
          <w:spacing w:val="-5"/>
          <w:sz w:val="20"/>
        </w:rPr>
        <w:t> </w:t>
      </w:r>
      <w:r>
        <w:rPr>
          <w:color w:val="313537"/>
          <w:sz w:val="20"/>
        </w:rPr>
        <w:t>C.M.,</w:t>
      </w:r>
      <w:r>
        <w:rPr>
          <w:color w:val="313537"/>
          <w:spacing w:val="-3"/>
          <w:sz w:val="20"/>
        </w:rPr>
        <w:t> </w:t>
      </w:r>
      <w:r>
        <w:rPr>
          <w:color w:val="313537"/>
          <w:sz w:val="20"/>
        </w:rPr>
        <w:t>Petterson,</w:t>
      </w:r>
      <w:r>
        <w:rPr>
          <w:color w:val="313537"/>
          <w:spacing w:val="-3"/>
          <w:sz w:val="20"/>
        </w:rPr>
        <w:t> </w:t>
      </w:r>
      <w:r>
        <w:rPr>
          <w:color w:val="313537"/>
          <w:sz w:val="20"/>
        </w:rPr>
        <w:t>T.M., Silverstein,</w:t>
      </w:r>
      <w:r>
        <w:rPr>
          <w:color w:val="313537"/>
          <w:spacing w:val="-5"/>
          <w:sz w:val="20"/>
        </w:rPr>
        <w:t> </w:t>
      </w:r>
      <w:r>
        <w:rPr>
          <w:color w:val="313537"/>
          <w:sz w:val="20"/>
        </w:rPr>
        <w:t>M.D.,</w:t>
      </w:r>
      <w:r>
        <w:rPr>
          <w:color w:val="313537"/>
          <w:spacing w:val="-5"/>
          <w:sz w:val="20"/>
        </w:rPr>
        <w:t> </w:t>
      </w:r>
      <w:r>
        <w:rPr>
          <w:color w:val="313537"/>
          <w:sz w:val="20"/>
        </w:rPr>
        <w:t>Mohr,</w:t>
      </w:r>
      <w:r>
        <w:rPr>
          <w:color w:val="313537"/>
          <w:spacing w:val="-5"/>
          <w:sz w:val="20"/>
        </w:rPr>
        <w:t> </w:t>
      </w:r>
      <w:r>
        <w:rPr>
          <w:color w:val="313537"/>
          <w:sz w:val="20"/>
        </w:rPr>
        <w:t>D.N.</w:t>
      </w:r>
      <w:r>
        <w:rPr>
          <w:color w:val="313537"/>
          <w:spacing w:val="-5"/>
          <w:sz w:val="20"/>
        </w:rPr>
        <w:t> </w:t>
      </w:r>
      <w:r>
        <w:rPr>
          <w:color w:val="313537"/>
          <w:sz w:val="20"/>
        </w:rPr>
        <w:t>&amp;</w:t>
      </w:r>
      <w:r>
        <w:rPr>
          <w:color w:val="313537"/>
          <w:spacing w:val="-5"/>
          <w:sz w:val="20"/>
        </w:rPr>
        <w:t> </w:t>
      </w:r>
      <w:r>
        <w:rPr>
          <w:color w:val="313537"/>
          <w:sz w:val="20"/>
        </w:rPr>
        <w:t>O’Fallon,</w:t>
      </w:r>
    </w:p>
    <w:p>
      <w:pPr>
        <w:spacing w:before="0"/>
        <w:ind w:left="541" w:right="1856" w:firstLine="0"/>
        <w:jc w:val="left"/>
        <w:rPr>
          <w:sz w:val="20"/>
        </w:rPr>
      </w:pPr>
      <w:r>
        <w:rPr>
          <w:color w:val="313537"/>
          <w:sz w:val="20"/>
        </w:rPr>
        <w:t>W.M. (2001). Incidence of venous thromboembolism in hospitalized patients vs community residents. Mayo Clinic Proceedings, 76(11), 1102-10. </w:t>
      </w:r>
      <w:hyperlink r:id="rId8">
        <w:r>
          <w:rPr>
            <w:color w:val="2467B2"/>
            <w:sz w:val="20"/>
            <w:u w:val="single" w:color="2467B2"/>
          </w:rPr>
          <w:t>https://doi.org/10.4065/76.11.1102</w:t>
        </w:r>
      </w:hyperlink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30" w:lineRule="exact" w:before="6" w:after="0"/>
        <w:ind w:left="541" w:right="1164" w:hanging="360"/>
        <w:jc w:val="left"/>
        <w:rPr>
          <w:sz w:val="20"/>
        </w:rPr>
      </w:pPr>
      <w:r>
        <w:rPr>
          <w:sz w:val="20"/>
        </w:rPr>
        <w:t>Shekelle P, Watcher R, Pronovost P, Schoelles K, McDonald K, et al. Making Health Care Safer</w:t>
      </w:r>
      <w:r>
        <w:rPr>
          <w:spacing w:val="-35"/>
          <w:sz w:val="20"/>
        </w:rPr>
        <w:t> </w:t>
      </w:r>
      <w:r>
        <w:rPr>
          <w:sz w:val="20"/>
        </w:rPr>
        <w:t>II: An Updated Critical Analysis of the Evidence for Patient Safety Practices. Rockville, MD: Agency for Healthcare Research and Quality; 2013.</w:t>
      </w:r>
      <w:r>
        <w:rPr>
          <w:spacing w:val="-21"/>
          <w:sz w:val="20"/>
        </w:rPr>
        <w:t> </w:t>
      </w:r>
      <w:r>
        <w:rPr>
          <w:sz w:val="20"/>
        </w:rPr>
        <w:t>25.</w:t>
      </w: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28" w:lineRule="exact" w:before="4" w:after="0"/>
        <w:ind w:left="541" w:right="1216" w:hanging="360"/>
        <w:jc w:val="left"/>
        <w:rPr>
          <w:sz w:val="20"/>
        </w:rPr>
      </w:pPr>
      <w:r>
        <w:rPr>
          <w:sz w:val="20"/>
        </w:rPr>
        <w:t>Slawomirski L, A. Auraaen, Klazinga N. The economics of patient safety. Paris: OECD Publishing; 2017; Available from:</w:t>
      </w:r>
      <w:r>
        <w:rPr>
          <w:spacing w:val="-26"/>
          <w:sz w:val="20"/>
        </w:rPr>
        <w:t> </w:t>
      </w:r>
      <w:hyperlink r:id="rId9">
        <w:r>
          <w:rPr>
            <w:sz w:val="20"/>
          </w:rPr>
          <w:t>http://dx.doi.org/10.1787/5a9858cd-en.</w:t>
        </w:r>
      </w:hyperlink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0" w:lineRule="auto" w:before="0" w:after="0"/>
        <w:ind w:left="541" w:right="1259" w:hanging="360"/>
        <w:jc w:val="left"/>
        <w:rPr>
          <w:sz w:val="20"/>
        </w:rPr>
      </w:pPr>
      <w:r>
        <w:rPr>
          <w:color w:val="313537"/>
          <w:sz w:val="20"/>
        </w:rPr>
        <w:t>Bergqvist D, Geerts WH, Pineo GF, et al.</w:t>
      </w:r>
      <w:r>
        <w:rPr>
          <w:color w:val="303030"/>
          <w:sz w:val="20"/>
        </w:rPr>
        <w:t>, 2008, ‘Prevention of venous thromboembolism’. Chest, 133:6 suppl 381S453S, pp. 381 –</w:t>
      </w:r>
      <w:r>
        <w:rPr>
          <w:color w:val="303030"/>
          <w:spacing w:val="-13"/>
          <w:sz w:val="20"/>
        </w:rPr>
        <w:t> </w:t>
      </w:r>
      <w:r>
        <w:rPr>
          <w:color w:val="303030"/>
          <w:sz w:val="20"/>
        </w:rPr>
        <w:t>453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0" w:lineRule="auto" w:before="0" w:after="0"/>
        <w:ind w:left="541" w:right="1079" w:hanging="360"/>
        <w:jc w:val="left"/>
        <w:rPr>
          <w:sz w:val="20"/>
        </w:rPr>
      </w:pPr>
      <w:r>
        <w:rPr>
          <w:color w:val="313537"/>
          <w:sz w:val="20"/>
        </w:rPr>
        <w:t>McDonald KM, Shojania KG, Wachter RM, et al.</w:t>
      </w:r>
      <w:r>
        <w:rPr>
          <w:color w:val="303030"/>
          <w:sz w:val="20"/>
        </w:rPr>
        <w:t>, 2004 ‘Closing the quality gap: a critical analysis of quality improvement strategies (Volume 1 – Series Overview and Methodology)’, Technical Review 9 (Contract No. 290-02-0017 to the Stanford University-University of California, San Francisco, Evidence-based Practice</w:t>
      </w:r>
      <w:r>
        <w:rPr>
          <w:color w:val="303030"/>
          <w:spacing w:val="-15"/>
          <w:sz w:val="20"/>
        </w:rPr>
        <w:t> </w:t>
      </w:r>
      <w:r>
        <w:rPr>
          <w:color w:val="303030"/>
          <w:sz w:val="20"/>
        </w:rPr>
        <w:t>Center).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6" w:lineRule="auto" w:before="140"/>
        <w:ind w:left="4232" w:right="86" w:firstLine="1092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808080"/>
          <w:sz w:val="20"/>
        </w:rPr>
        <w:t>VTE Prevention Toolkit - Improvement Project Brief Template Released 2021 © Clinical Excellence Commission 2021. SHPN (CEC) 210410</w:t>
      </w:r>
    </w:p>
    <w:sectPr>
      <w:pgSz w:w="11910" w:h="16840"/>
      <w:pgMar w:header="603" w:footer="0" w:top="1800" w:bottom="0" w:left="11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360001pt;margin-top:29.143166pt;width:178.7pt;height:16.05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002060"/>
                    <w:sz w:val="28"/>
                  </w:rPr>
                  <w:t>CEC VTE Prevention Toolkit</w:t>
                </w:r>
              </w:p>
            </w:txbxContent>
          </v:textbox>
          <w10:wrap type="none"/>
        </v:shape>
      </w:pict>
    </w:r>
    <w:r>
      <w:rPr/>
      <w:pict>
        <v:shape style="position:absolute;margin-left:137.839996pt;margin-top:57.58736pt;width:312.150pt;height:33.6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-4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002060"/>
                    <w:sz w:val="32"/>
                  </w:rPr>
                  <w:t>VTE Improvement Project Brief Template</w:t>
                </w:r>
              </w:p>
              <w:p>
                <w:pPr>
                  <w:spacing w:before="57"/>
                  <w:ind w:left="800" w:right="-4" w:firstLine="0"/>
                  <w:jc w:val="left"/>
                  <w:rPr>
                    <w:sz w:val="22"/>
                  </w:rPr>
                </w:pPr>
                <w:r>
                  <w:rPr>
                    <w:color w:val="FF0000"/>
                    <w:sz w:val="22"/>
                  </w:rPr>
                  <w:t>[tailor this document as relevant to your local needs]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."/>
      <w:lvlJc w:val="left"/>
      <w:pPr>
        <w:ind w:left="541" w:hanging="360"/>
        <w:jc w:val="left"/>
      </w:pPr>
      <w:rPr>
        <w:rFonts w:hint="default" w:ascii="Arial" w:hAnsi="Arial" w:eastAsia="Arial" w:cs="Arial"/>
        <w:color w:val="303030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541" w:hanging="360"/>
        <w:jc w:val="left"/>
      </w:pPr>
      <w:rPr>
        <w:rFonts w:hint="default" w:ascii="Calibri" w:hAnsi="Calibri" w:eastAsia="Calibri" w:cs="Calibri"/>
        <w:color w:val="313537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1" w:hanging="360"/>
        <w:jc w:val="left"/>
      </w:pPr>
      <w:rPr>
        <w:rFonts w:hint="default" w:ascii="Arial" w:hAnsi="Arial" w:eastAsia="Arial" w:cs="Arial"/>
        <w:color w:val="303030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541" w:hanging="361"/>
      </w:pPr>
      <w:rPr>
        <w:rFonts w:hint="default" w:ascii="Symbol" w:hAnsi="Symbol" w:eastAsia="Symbol" w:cs="Symbol"/>
        <w:w w:val="100"/>
        <w:sz w:val="21"/>
        <w:szCs w:val="21"/>
      </w:rPr>
    </w:lvl>
    <w:lvl w:ilvl="1">
      <w:start w:val="1"/>
      <w:numFmt w:val="bullet"/>
      <w:lvlText w:val="o"/>
      <w:lvlJc w:val="left"/>
      <w:pPr>
        <w:ind w:left="970" w:hanging="360"/>
      </w:pPr>
      <w:rPr>
        <w:rFonts w:hint="default" w:ascii="Courier New" w:hAnsi="Courier New" w:eastAsia="Courier New" w:cs="Courier New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4" w:right="504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541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1.health.nsw.gov.au/pds/Pages/doc.aspx?dn=PD2019_057" TargetMode="External"/><Relationship Id="rId7" Type="http://schemas.openxmlformats.org/officeDocument/2006/relationships/hyperlink" Target="https://www.deloitteaccesseconomics.com.au/publications%2Band%2Breports/browse%2Breports" TargetMode="External"/><Relationship Id="rId8" Type="http://schemas.openxmlformats.org/officeDocument/2006/relationships/hyperlink" Target="https://doi.org/10.4065/76.11.1102" TargetMode="External"/><Relationship Id="rId9" Type="http://schemas.openxmlformats.org/officeDocument/2006/relationships/hyperlink" Target="http://dx.doi.org/10.1787/5a9858cd-en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Excellence Commission</dc:creator>
  <cp:keywords>VTE Toolkit, Improvement Science</cp:keywords>
  <dc:title>VTE Improvement Project Brief Template</dc:title>
  <dcterms:created xsi:type="dcterms:W3CDTF">2021-05-04T12:58:09Z</dcterms:created>
  <dcterms:modified xsi:type="dcterms:W3CDTF">2021-05-04T12:58:09Z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2021-05-04T00:00:00Z</vt:filetime>
  </property>
</Properties>
</file>